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05F40" w14:textId="77777777" w:rsidR="00BF17CC" w:rsidRPr="00C61105" w:rsidRDefault="00BF17CC" w:rsidP="00BF17CC">
      <w:pPr>
        <w:pStyle w:val="Titolo1"/>
        <w:rPr>
          <w:noProof w:val="0"/>
          <w:sz w:val="22"/>
        </w:rPr>
      </w:pPr>
      <w:r w:rsidRPr="00C61105">
        <w:rPr>
          <w:noProof w:val="0"/>
          <w:sz w:val="21"/>
        </w:rPr>
        <w:t>Banking and Financial Criminal Law</w:t>
      </w:r>
    </w:p>
    <w:p w14:paraId="5D72B91E" w14:textId="77777777" w:rsidR="00BF17CC" w:rsidRPr="00C61105" w:rsidRDefault="00BF17CC" w:rsidP="00BF17CC">
      <w:pPr>
        <w:pStyle w:val="Titolo2"/>
        <w:rPr>
          <w:noProof w:val="0"/>
          <w:sz w:val="20"/>
        </w:rPr>
      </w:pPr>
      <w:proofErr w:type="spellStart"/>
      <w:r>
        <w:rPr>
          <w:noProof w:val="0"/>
          <w:sz w:val="20"/>
        </w:rPr>
        <w:t>Prof.</w:t>
      </w:r>
      <w:proofErr w:type="spellEnd"/>
      <w:r>
        <w:rPr>
          <w:noProof w:val="0"/>
          <w:sz w:val="20"/>
        </w:rPr>
        <w:t xml:space="preserve"> Alessandro Provera</w:t>
      </w:r>
    </w:p>
    <w:p w14:paraId="1534ADD0" w14:textId="77777777" w:rsidR="00BF17CC" w:rsidRPr="00C61105" w:rsidRDefault="00BF17CC" w:rsidP="00BF17CC">
      <w:pPr>
        <w:spacing w:before="240" w:after="120"/>
        <w:rPr>
          <w:b/>
          <w:sz w:val="18"/>
        </w:rPr>
      </w:pPr>
      <w:r w:rsidRPr="00C61105">
        <w:rPr>
          <w:b/>
          <w:i/>
          <w:sz w:val="18"/>
        </w:rPr>
        <w:t>COURSE AIMS AND INTENDED LEARNING OUTCOMES</w:t>
      </w:r>
    </w:p>
    <w:p w14:paraId="20FCBCFC" w14:textId="77777777" w:rsidR="00BF17CC" w:rsidRPr="00F10916" w:rsidRDefault="00BF17CC" w:rsidP="00BF17CC">
      <w:pPr>
        <w:rPr>
          <w:sz w:val="18"/>
        </w:rPr>
      </w:pPr>
      <w:r w:rsidRPr="00F10916">
        <w:rPr>
          <w:sz w:val="18"/>
        </w:rPr>
        <w:t xml:space="preserve">The course aims to illustrate the different aspects characterising the phenomenon of financial crime, focusing on </w:t>
      </w:r>
      <w:r w:rsidRPr="00C61105">
        <w:rPr>
          <w:sz w:val="18"/>
        </w:rPr>
        <w:t xml:space="preserve">the most frequent criminal offences in the banking </w:t>
      </w:r>
      <w:r>
        <w:rPr>
          <w:sz w:val="18"/>
        </w:rPr>
        <w:t xml:space="preserve">and financial </w:t>
      </w:r>
      <w:r w:rsidRPr="00C61105">
        <w:rPr>
          <w:sz w:val="18"/>
        </w:rPr>
        <w:t>sector</w:t>
      </w:r>
      <w:r w:rsidRPr="00F10916">
        <w:rPr>
          <w:sz w:val="18"/>
        </w:rPr>
        <w:t xml:space="preserve">. The first part of the course </w:t>
      </w:r>
      <w:r w:rsidRPr="001405BA">
        <w:rPr>
          <w:sz w:val="18"/>
        </w:rPr>
        <w:t xml:space="preserve">frames the unique features of financial criminal law from an ethical and criminological point of view. </w:t>
      </w:r>
      <w:r w:rsidRPr="003D4C93">
        <w:rPr>
          <w:sz w:val="18"/>
        </w:rPr>
        <w:t xml:space="preserve">The course will also provide the essential elements of the subject's criminal categories of reference, with an in-depth study of the issues relating to the identification of responsible subjects in complex organisations, </w:t>
      </w:r>
      <w:r>
        <w:rPr>
          <w:sz w:val="18"/>
        </w:rPr>
        <w:t>the corporate criminal liability</w:t>
      </w:r>
      <w:r w:rsidRPr="003D4C93">
        <w:rPr>
          <w:sz w:val="18"/>
        </w:rPr>
        <w:t xml:space="preserve"> and the compliance tools to counter criminal risk</w:t>
      </w:r>
      <w:r>
        <w:rPr>
          <w:sz w:val="18"/>
        </w:rPr>
        <w:t xml:space="preserve">. </w:t>
      </w:r>
      <w:r w:rsidRPr="00F10916">
        <w:rPr>
          <w:sz w:val="18"/>
        </w:rPr>
        <w:t xml:space="preserve">The second part of the course </w:t>
      </w:r>
      <w:r w:rsidRPr="000F53B5">
        <w:rPr>
          <w:sz w:val="18"/>
        </w:rPr>
        <w:t>examines the crimes most frequently involving the banking and financial sector</w:t>
      </w:r>
      <w:r w:rsidRPr="001F35FB">
        <w:rPr>
          <w:sz w:val="18"/>
        </w:rPr>
        <w:t xml:space="preserve"> </w:t>
      </w:r>
      <w:r w:rsidRPr="00C61105">
        <w:rPr>
          <w:sz w:val="18"/>
        </w:rPr>
        <w:t>In addition to analysing the main criminal offences, we will illustrate the most common criminal behaviours in practice, including with reference to judicial cases.</w:t>
      </w:r>
      <w:r w:rsidRPr="00F10916">
        <w:rPr>
          <w:sz w:val="18"/>
        </w:rPr>
        <w:t>,</w:t>
      </w:r>
    </w:p>
    <w:p w14:paraId="1AEAE0C6" w14:textId="77777777" w:rsidR="00BF17CC" w:rsidRPr="00F10916" w:rsidRDefault="00BF17CC" w:rsidP="00BF17CC">
      <w:pPr>
        <w:rPr>
          <w:sz w:val="18"/>
        </w:rPr>
      </w:pPr>
      <w:r w:rsidRPr="00F10916">
        <w:rPr>
          <w:sz w:val="18"/>
        </w:rPr>
        <w:t>At the end of the course, students will be able to:</w:t>
      </w:r>
    </w:p>
    <w:p w14:paraId="3FBDBB82" w14:textId="77777777" w:rsidR="00BF17CC" w:rsidRPr="00F10916" w:rsidRDefault="00BF17CC" w:rsidP="00BF17CC">
      <w:pPr>
        <w:rPr>
          <w:sz w:val="18"/>
        </w:rPr>
      </w:pPr>
      <w:r w:rsidRPr="00F10916">
        <w:rPr>
          <w:sz w:val="18"/>
        </w:rPr>
        <w:t>-</w:t>
      </w:r>
      <w:r w:rsidRPr="00F10916">
        <w:rPr>
          <w:sz w:val="18"/>
        </w:rPr>
        <w:tab/>
        <w:t>recognize the most common criminal behaviours in the banking and financial sector;</w:t>
      </w:r>
    </w:p>
    <w:p w14:paraId="6CCF512D" w14:textId="77777777" w:rsidR="00BF17CC" w:rsidRPr="00F10916" w:rsidRDefault="00BF17CC" w:rsidP="00BF17CC">
      <w:pPr>
        <w:rPr>
          <w:sz w:val="18"/>
        </w:rPr>
      </w:pPr>
      <w:r w:rsidRPr="00F10916">
        <w:rPr>
          <w:sz w:val="18"/>
        </w:rPr>
        <w:t>-</w:t>
      </w:r>
      <w:r w:rsidRPr="00F10916">
        <w:rPr>
          <w:sz w:val="18"/>
        </w:rPr>
        <w:tab/>
        <w:t>deal with the legal framework, identifying the rules and the various forms of liabilities applicable to concrete cases;</w:t>
      </w:r>
    </w:p>
    <w:p w14:paraId="686A1B37" w14:textId="77777777" w:rsidR="00BF17CC" w:rsidRPr="00F10916" w:rsidRDefault="00BF17CC" w:rsidP="00BF17CC">
      <w:pPr>
        <w:rPr>
          <w:sz w:val="18"/>
        </w:rPr>
      </w:pPr>
      <w:r w:rsidRPr="00F10916">
        <w:rPr>
          <w:sz w:val="18"/>
        </w:rPr>
        <w:t>-</w:t>
      </w:r>
      <w:r w:rsidRPr="00F10916">
        <w:rPr>
          <w:sz w:val="18"/>
        </w:rPr>
        <w:tab/>
        <w:t xml:space="preserve">properly analyse the most relevant criminal offences in the </w:t>
      </w:r>
      <w:r>
        <w:rPr>
          <w:sz w:val="18"/>
        </w:rPr>
        <w:t>financial</w:t>
      </w:r>
      <w:r w:rsidRPr="00F10916">
        <w:rPr>
          <w:sz w:val="18"/>
        </w:rPr>
        <w:t xml:space="preserve"> sector;</w:t>
      </w:r>
    </w:p>
    <w:p w14:paraId="49A2EE2A" w14:textId="77777777" w:rsidR="00BF17CC" w:rsidRDefault="00BF17CC" w:rsidP="00BF17CC">
      <w:pPr>
        <w:rPr>
          <w:sz w:val="18"/>
        </w:rPr>
      </w:pPr>
      <w:r w:rsidRPr="00F10916">
        <w:rPr>
          <w:sz w:val="18"/>
        </w:rPr>
        <w:t>-</w:t>
      </w:r>
      <w:r w:rsidRPr="00F10916">
        <w:rPr>
          <w:sz w:val="18"/>
        </w:rPr>
        <w:tab/>
        <w:t xml:space="preserve">adopt an independent approach in the analysis of questions arising from the  management of criminal risks related to </w:t>
      </w:r>
      <w:r>
        <w:rPr>
          <w:sz w:val="18"/>
        </w:rPr>
        <w:t xml:space="preserve">financial </w:t>
      </w:r>
      <w:r w:rsidRPr="00F10916">
        <w:rPr>
          <w:sz w:val="18"/>
        </w:rPr>
        <w:t>activities.</w:t>
      </w:r>
    </w:p>
    <w:p w14:paraId="0A978B4A" w14:textId="77777777" w:rsidR="00BF17CC" w:rsidRPr="001F35FB" w:rsidRDefault="00BF17CC" w:rsidP="00BF17CC">
      <w:pPr>
        <w:rPr>
          <w:sz w:val="18"/>
        </w:rPr>
      </w:pPr>
    </w:p>
    <w:p w14:paraId="72C75B0A" w14:textId="77777777" w:rsidR="00BF17CC" w:rsidRPr="00C61105" w:rsidRDefault="00BF17CC" w:rsidP="00BF17CC">
      <w:pPr>
        <w:spacing w:before="240" w:after="120"/>
        <w:rPr>
          <w:b/>
          <w:sz w:val="18"/>
        </w:rPr>
      </w:pPr>
      <w:r w:rsidRPr="00C61105">
        <w:rPr>
          <w:b/>
          <w:i/>
          <w:sz w:val="18"/>
        </w:rPr>
        <w:t>COURSE CONTENT</w:t>
      </w:r>
    </w:p>
    <w:p w14:paraId="64FC8192" w14:textId="77777777" w:rsidR="00BF17CC" w:rsidRPr="00C61105" w:rsidRDefault="00BF17CC" w:rsidP="00BF17CC">
      <w:pPr>
        <w:pStyle w:val="Paragrafoelenco"/>
        <w:numPr>
          <w:ilvl w:val="0"/>
          <w:numId w:val="4"/>
        </w:numPr>
        <w:ind w:left="0" w:firstLine="0"/>
        <w:rPr>
          <w:sz w:val="18"/>
        </w:rPr>
      </w:pPr>
      <w:r w:rsidRPr="00C61105">
        <w:rPr>
          <w:sz w:val="18"/>
        </w:rPr>
        <w:t xml:space="preserve">Financial scandals: criminological traits. </w:t>
      </w:r>
    </w:p>
    <w:p w14:paraId="4603B074" w14:textId="77777777" w:rsidR="00BF17CC" w:rsidRPr="00C61105" w:rsidRDefault="00BF17CC" w:rsidP="00BF17CC">
      <w:pPr>
        <w:pStyle w:val="Paragrafoelenco"/>
        <w:numPr>
          <w:ilvl w:val="0"/>
          <w:numId w:val="4"/>
        </w:numPr>
        <w:ind w:left="0" w:firstLine="0"/>
        <w:rPr>
          <w:sz w:val="18"/>
        </w:rPr>
      </w:pPr>
      <w:r w:rsidRPr="00606F34">
        <w:rPr>
          <w:sz w:val="18"/>
        </w:rPr>
        <w:t xml:space="preserve">Overview on basics of criminal law. </w:t>
      </w:r>
      <w:r w:rsidRPr="00C61105">
        <w:rPr>
          <w:sz w:val="18"/>
        </w:rPr>
        <w:t xml:space="preserve">- Subjects and criminal </w:t>
      </w:r>
      <w:r>
        <w:rPr>
          <w:sz w:val="18"/>
        </w:rPr>
        <w:t>liability</w:t>
      </w:r>
      <w:r w:rsidRPr="00C61105">
        <w:rPr>
          <w:sz w:val="18"/>
        </w:rPr>
        <w:t xml:space="preserve"> in complex organisations. - </w:t>
      </w:r>
      <w:r w:rsidRPr="00606F34">
        <w:rPr>
          <w:sz w:val="18"/>
        </w:rPr>
        <w:t>Liability and compliance tools for offences committed by entities as laid down by Legislative Decree no. 231/2001</w:t>
      </w:r>
    </w:p>
    <w:p w14:paraId="169539FE" w14:textId="77777777" w:rsidR="00BF17CC" w:rsidRPr="00C61105" w:rsidRDefault="00BF17CC" w:rsidP="00BF17CC">
      <w:pPr>
        <w:pStyle w:val="Paragrafoelenco"/>
        <w:numPr>
          <w:ilvl w:val="0"/>
          <w:numId w:val="4"/>
        </w:numPr>
        <w:ind w:left="0" w:firstLine="0"/>
        <w:rPr>
          <w:sz w:val="18"/>
        </w:rPr>
      </w:pPr>
      <w:r w:rsidRPr="00C61105">
        <w:rPr>
          <w:sz w:val="18"/>
        </w:rPr>
        <w:t xml:space="preserve">Market abuse. - Common provisions and penalty system. - </w:t>
      </w:r>
      <w:r w:rsidRPr="00E325C3">
        <w:rPr>
          <w:sz w:val="18"/>
        </w:rPr>
        <w:t>Insider trading. – Manipulation.</w:t>
      </w:r>
    </w:p>
    <w:p w14:paraId="75DE95AB" w14:textId="77777777" w:rsidR="00BF17CC" w:rsidRDefault="00BF17CC" w:rsidP="00BF17CC">
      <w:pPr>
        <w:rPr>
          <w:sz w:val="18"/>
        </w:rPr>
      </w:pPr>
      <w:r>
        <w:rPr>
          <w:sz w:val="18"/>
        </w:rPr>
        <w:t xml:space="preserve">4.    </w:t>
      </w:r>
      <w:r w:rsidRPr="00E325C3">
        <w:rPr>
          <w:sz w:val="18"/>
        </w:rPr>
        <w:t>False corporate statements – Obstacle to public supervisory authorities</w:t>
      </w:r>
    </w:p>
    <w:p w14:paraId="7720BD80" w14:textId="77777777" w:rsidR="00BF17CC" w:rsidRDefault="00BF17CC" w:rsidP="00BF17CC">
      <w:pPr>
        <w:rPr>
          <w:sz w:val="18"/>
        </w:rPr>
      </w:pPr>
      <w:r>
        <w:rPr>
          <w:sz w:val="18"/>
        </w:rPr>
        <w:t xml:space="preserve">5.    </w:t>
      </w:r>
      <w:r w:rsidRPr="009E2B0B">
        <w:rPr>
          <w:sz w:val="18"/>
        </w:rPr>
        <w:t>Bribery among private persons – Disloyalty in business management – Fraud</w:t>
      </w:r>
    </w:p>
    <w:p w14:paraId="3E12C56C" w14:textId="77777777" w:rsidR="00BF17CC" w:rsidRPr="00C61105" w:rsidRDefault="00BF17CC" w:rsidP="00BF17CC">
      <w:pPr>
        <w:rPr>
          <w:sz w:val="18"/>
        </w:rPr>
      </w:pPr>
      <w:r>
        <w:rPr>
          <w:sz w:val="18"/>
        </w:rPr>
        <w:t>6.</w:t>
      </w:r>
      <w:r>
        <w:rPr>
          <w:sz w:val="18"/>
        </w:rPr>
        <w:tab/>
        <w:t xml:space="preserve"> </w:t>
      </w:r>
      <w:r w:rsidRPr="00C61105">
        <w:rPr>
          <w:sz w:val="18"/>
        </w:rPr>
        <w:t>Money laundering and law enforcement measures.</w:t>
      </w:r>
    </w:p>
    <w:p w14:paraId="712C85B1" w14:textId="77777777" w:rsidR="00BF17CC" w:rsidRDefault="00BF17CC" w:rsidP="00BF17CC">
      <w:pPr>
        <w:keepNext/>
        <w:spacing w:before="240" w:after="120"/>
        <w:rPr>
          <w:i/>
          <w:sz w:val="18"/>
          <w:u w:val="single"/>
        </w:rPr>
      </w:pPr>
    </w:p>
    <w:p w14:paraId="5411BFC0" w14:textId="77777777" w:rsidR="00BF17CC" w:rsidRPr="00C61105" w:rsidRDefault="00BF17CC" w:rsidP="00BF17CC">
      <w:pPr>
        <w:keepNext/>
        <w:spacing w:before="240" w:after="120"/>
        <w:rPr>
          <w:b/>
          <w:sz w:val="18"/>
        </w:rPr>
      </w:pPr>
      <w:r w:rsidRPr="00C61105">
        <w:rPr>
          <w:b/>
          <w:i/>
          <w:sz w:val="18"/>
        </w:rPr>
        <w:t>READING LIST</w:t>
      </w:r>
    </w:p>
    <w:p w14:paraId="47F60AAE" w14:textId="77777777" w:rsidR="00BF17CC" w:rsidRPr="00C61105" w:rsidRDefault="00BF17CC" w:rsidP="00BF17CC">
      <w:pPr>
        <w:rPr>
          <w:sz w:val="18"/>
        </w:rPr>
      </w:pPr>
      <w:r w:rsidRPr="00C61105">
        <w:rPr>
          <w:sz w:val="18"/>
        </w:rPr>
        <w:t>Attending students will be able to take the exam on the lecture notes, supplemented by supporting material indicated during the course and made available on Blackboard.</w:t>
      </w:r>
    </w:p>
    <w:p w14:paraId="45049E8F" w14:textId="77777777" w:rsidR="00BF17CC" w:rsidRPr="00C61105" w:rsidRDefault="00BF17CC" w:rsidP="00BF17CC">
      <w:pPr>
        <w:rPr>
          <w:sz w:val="18"/>
        </w:rPr>
      </w:pPr>
    </w:p>
    <w:p w14:paraId="62EAFF3B" w14:textId="1E0ABDC2" w:rsidR="0041749E" w:rsidRPr="0041749E" w:rsidRDefault="00BF17CC" w:rsidP="0041749E">
      <w:pPr>
        <w:rPr>
          <w:sz w:val="18"/>
        </w:rPr>
      </w:pPr>
      <w:r w:rsidRPr="00C61105">
        <w:rPr>
          <w:sz w:val="18"/>
        </w:rPr>
        <w:t xml:space="preserve">Non-attending students may take the exam by studying the topics listed in the programme in the indicated sections of the following text: </w:t>
      </w:r>
    </w:p>
    <w:p w14:paraId="56DE42CF" w14:textId="1D1E84D5" w:rsidR="0041749E" w:rsidRPr="0041749E" w:rsidRDefault="0041749E" w:rsidP="00BF17CC">
      <w:pPr>
        <w:rPr>
          <w:smallCaps/>
          <w:sz w:val="18"/>
          <w:szCs w:val="18"/>
        </w:rPr>
      </w:pPr>
      <w:r w:rsidRPr="0041749E">
        <w:rPr>
          <w:smallCaps/>
          <w:sz w:val="18"/>
          <w:szCs w:val="18"/>
          <w:lang w:val="it-IT"/>
        </w:rPr>
        <w:t xml:space="preserve">E.M. Ambrosetti - E. </w:t>
      </w:r>
      <w:proofErr w:type="spellStart"/>
      <w:r w:rsidRPr="0041749E">
        <w:rPr>
          <w:smallCaps/>
          <w:sz w:val="18"/>
          <w:szCs w:val="18"/>
          <w:lang w:val="it-IT"/>
        </w:rPr>
        <w:t>Mezzetti</w:t>
      </w:r>
      <w:proofErr w:type="spellEnd"/>
      <w:r w:rsidRPr="0041749E">
        <w:rPr>
          <w:smallCaps/>
          <w:sz w:val="18"/>
          <w:szCs w:val="18"/>
          <w:lang w:val="it-IT"/>
        </w:rPr>
        <w:t xml:space="preserve"> - M. Ronco</w:t>
      </w:r>
      <w:r w:rsidRPr="0041749E">
        <w:rPr>
          <w:i/>
          <w:smallCaps/>
          <w:sz w:val="18"/>
          <w:szCs w:val="18"/>
          <w:lang w:val="it-IT"/>
        </w:rPr>
        <w:t xml:space="preserve">, </w:t>
      </w:r>
      <w:r w:rsidRPr="0041749E">
        <w:rPr>
          <w:i/>
          <w:sz w:val="18"/>
          <w:szCs w:val="18"/>
          <w:lang w:val="it-IT"/>
        </w:rPr>
        <w:t>Diritto penale dell’impresa</w:t>
      </w:r>
      <w:r w:rsidRPr="0041749E">
        <w:rPr>
          <w:sz w:val="18"/>
          <w:szCs w:val="18"/>
          <w:lang w:val="it-IT"/>
        </w:rPr>
        <w:t>, V ed.,</w:t>
      </w:r>
      <w:r w:rsidRPr="0041749E">
        <w:rPr>
          <w:smallCaps/>
          <w:sz w:val="18"/>
          <w:szCs w:val="18"/>
          <w:lang w:val="it-IT"/>
        </w:rPr>
        <w:t xml:space="preserve"> </w:t>
      </w:r>
      <w:r w:rsidRPr="0041749E">
        <w:rPr>
          <w:sz w:val="18"/>
          <w:szCs w:val="18"/>
          <w:lang w:val="it-IT"/>
        </w:rPr>
        <w:t>Zanichelli</w:t>
      </w:r>
      <w:r w:rsidRPr="0041749E">
        <w:rPr>
          <w:smallCaps/>
          <w:sz w:val="18"/>
          <w:szCs w:val="18"/>
          <w:lang w:val="it-IT"/>
        </w:rPr>
        <w:t xml:space="preserve">, 2022, </w:t>
      </w:r>
      <w:r w:rsidRPr="0041749E">
        <w:rPr>
          <w:sz w:val="18"/>
          <w:szCs w:val="18"/>
          <w:lang w:val="it-IT"/>
        </w:rPr>
        <w:t>Par</w:t>
      </w:r>
      <w:r>
        <w:rPr>
          <w:sz w:val="18"/>
          <w:szCs w:val="18"/>
          <w:lang w:val="it-IT"/>
        </w:rPr>
        <w:t>t</w:t>
      </w:r>
      <w:r w:rsidRPr="0041749E">
        <w:rPr>
          <w:sz w:val="18"/>
          <w:szCs w:val="18"/>
          <w:lang w:val="it-IT"/>
        </w:rPr>
        <w:t xml:space="preserve"> I, </w:t>
      </w:r>
      <w:proofErr w:type="spellStart"/>
      <w:r w:rsidRPr="0041749E">
        <w:rPr>
          <w:sz w:val="18"/>
          <w:szCs w:val="18"/>
          <w:lang w:val="it-IT"/>
        </w:rPr>
        <w:t>C</w:t>
      </w:r>
      <w:r>
        <w:rPr>
          <w:sz w:val="18"/>
          <w:szCs w:val="18"/>
          <w:lang w:val="it-IT"/>
        </w:rPr>
        <w:t>haps</w:t>
      </w:r>
      <w:proofErr w:type="spellEnd"/>
      <w:r w:rsidRPr="0041749E">
        <w:rPr>
          <w:sz w:val="18"/>
          <w:szCs w:val="18"/>
          <w:lang w:val="it-IT"/>
        </w:rPr>
        <w:t>.</w:t>
      </w:r>
      <w:r w:rsidRPr="0041749E">
        <w:rPr>
          <w:smallCaps/>
          <w:sz w:val="18"/>
          <w:szCs w:val="18"/>
          <w:lang w:val="it-IT"/>
        </w:rPr>
        <w:t xml:space="preserve"> </w:t>
      </w:r>
      <w:r w:rsidRPr="0041749E">
        <w:rPr>
          <w:smallCaps/>
          <w:sz w:val="18"/>
          <w:szCs w:val="18"/>
          <w:lang w:val="en-US"/>
        </w:rPr>
        <w:t xml:space="preserve">II, </w:t>
      </w:r>
      <w:r w:rsidRPr="0041749E">
        <w:rPr>
          <w:sz w:val="18"/>
          <w:szCs w:val="18"/>
          <w:lang w:val="en-US"/>
        </w:rPr>
        <w:t>(pp. 40-113); Part II, C</w:t>
      </w:r>
      <w:r>
        <w:rPr>
          <w:sz w:val="18"/>
          <w:szCs w:val="18"/>
          <w:lang w:val="en-US"/>
        </w:rPr>
        <w:t>haps</w:t>
      </w:r>
      <w:r w:rsidRPr="0041749E">
        <w:rPr>
          <w:sz w:val="18"/>
          <w:szCs w:val="18"/>
          <w:lang w:val="en-US"/>
        </w:rPr>
        <w:t>. I, Se</w:t>
      </w:r>
      <w:r>
        <w:rPr>
          <w:sz w:val="18"/>
          <w:szCs w:val="18"/>
          <w:lang w:val="en-US"/>
        </w:rPr>
        <w:t>ction</w:t>
      </w:r>
      <w:r w:rsidRPr="0041749E">
        <w:rPr>
          <w:sz w:val="18"/>
          <w:szCs w:val="18"/>
          <w:lang w:val="en-US"/>
        </w:rPr>
        <w:t xml:space="preserve"> </w:t>
      </w:r>
      <w:r w:rsidRPr="0041749E">
        <w:rPr>
          <w:sz w:val="18"/>
          <w:szCs w:val="18"/>
          <w:lang w:val="en-US"/>
        </w:rPr>
        <w:t>II (pp. 130-167) Se</w:t>
      </w:r>
      <w:r>
        <w:rPr>
          <w:sz w:val="18"/>
          <w:szCs w:val="18"/>
          <w:lang w:val="en-US"/>
        </w:rPr>
        <w:t>ction</w:t>
      </w:r>
      <w:r w:rsidRPr="0041749E">
        <w:rPr>
          <w:sz w:val="18"/>
          <w:szCs w:val="18"/>
          <w:lang w:val="en-US"/>
        </w:rPr>
        <w:t xml:space="preserve"> V (pp. 187-202 e 210-214); C</w:t>
      </w:r>
      <w:r>
        <w:rPr>
          <w:sz w:val="18"/>
          <w:szCs w:val="18"/>
          <w:lang w:val="en-US"/>
        </w:rPr>
        <w:t>haps</w:t>
      </w:r>
      <w:r w:rsidRPr="0041749E">
        <w:rPr>
          <w:sz w:val="18"/>
          <w:szCs w:val="18"/>
          <w:lang w:val="en-US"/>
        </w:rPr>
        <w:t xml:space="preserve"> </w:t>
      </w:r>
      <w:r w:rsidRPr="00253A9D">
        <w:rPr>
          <w:sz w:val="18"/>
          <w:szCs w:val="18"/>
        </w:rPr>
        <w:t>II (pp. 221-252); C</w:t>
      </w:r>
      <w:r>
        <w:rPr>
          <w:sz w:val="18"/>
          <w:szCs w:val="18"/>
        </w:rPr>
        <w:t>haps</w:t>
      </w:r>
      <w:r w:rsidRPr="00253A9D">
        <w:rPr>
          <w:sz w:val="18"/>
          <w:szCs w:val="18"/>
        </w:rPr>
        <w:t>. IV (pp. 376-417).</w:t>
      </w:r>
      <w:r>
        <w:rPr>
          <w:sz w:val="18"/>
          <w:szCs w:val="18"/>
        </w:rPr>
        <w:t xml:space="preserve"> </w:t>
      </w:r>
      <w:bookmarkStart w:id="0" w:name="_GoBack"/>
      <w:bookmarkEnd w:id="0"/>
    </w:p>
    <w:p w14:paraId="6D7208D3" w14:textId="77777777" w:rsidR="00BF17CC" w:rsidRPr="00C61105" w:rsidRDefault="00BF17CC" w:rsidP="00BF17CC">
      <w:pPr>
        <w:rPr>
          <w:sz w:val="18"/>
        </w:rPr>
      </w:pPr>
      <w:r w:rsidRPr="00C61105">
        <w:rPr>
          <w:sz w:val="18"/>
        </w:rPr>
        <w:t>Further reading indications for non-attending students may be provided or made available on Blackboard at the beginning of the course.</w:t>
      </w:r>
    </w:p>
    <w:p w14:paraId="4AC978B1" w14:textId="77777777" w:rsidR="00BF17CC" w:rsidRPr="00C61105" w:rsidRDefault="00BF17CC" w:rsidP="00BF17CC">
      <w:pPr>
        <w:rPr>
          <w:sz w:val="18"/>
        </w:rPr>
      </w:pPr>
      <w:r w:rsidRPr="00C61105">
        <w:rPr>
          <w:sz w:val="18"/>
        </w:rPr>
        <w:t xml:space="preserve">Non-attending students are, in any case, required to check Blackboard for any changes or additions to the reading indications. </w:t>
      </w:r>
    </w:p>
    <w:p w14:paraId="2E2809D3" w14:textId="77777777" w:rsidR="00BF17CC" w:rsidRPr="00C61105" w:rsidRDefault="00BF17CC" w:rsidP="00BF17CC">
      <w:pPr>
        <w:rPr>
          <w:sz w:val="18"/>
        </w:rPr>
      </w:pPr>
    </w:p>
    <w:p w14:paraId="510DB03A" w14:textId="77777777" w:rsidR="00BF17CC" w:rsidRPr="00C61105" w:rsidRDefault="00BF17CC" w:rsidP="00BF17CC">
      <w:pPr>
        <w:spacing w:before="240" w:after="120" w:line="220" w:lineRule="exact"/>
        <w:rPr>
          <w:b/>
          <w:i/>
          <w:sz w:val="18"/>
        </w:rPr>
      </w:pPr>
      <w:r w:rsidRPr="00C61105">
        <w:rPr>
          <w:b/>
          <w:i/>
          <w:sz w:val="18"/>
        </w:rPr>
        <w:t>TEACHING METHOD</w:t>
      </w:r>
    </w:p>
    <w:p w14:paraId="152E9357" w14:textId="77777777" w:rsidR="00BF17CC" w:rsidRPr="00C61105" w:rsidRDefault="00BF17CC" w:rsidP="00BF17CC">
      <w:pPr>
        <w:pStyle w:val="Testo2"/>
        <w:ind w:firstLine="0"/>
        <w:rPr>
          <w:noProof w:val="0"/>
        </w:rPr>
      </w:pPr>
      <w:r w:rsidRPr="00C61105">
        <w:rPr>
          <w:noProof w:val="0"/>
        </w:rPr>
        <w:t>Frontal lectures - to which external guests, academics or representatives of the financial world may be invited - covering single topics or practical cases of interest within the course.</w:t>
      </w:r>
    </w:p>
    <w:p w14:paraId="36D72428" w14:textId="77777777" w:rsidR="00BF17CC" w:rsidRPr="00C61105" w:rsidRDefault="00BF17CC" w:rsidP="00BF17CC">
      <w:pPr>
        <w:pStyle w:val="Testo2"/>
        <w:ind w:firstLine="0"/>
        <w:rPr>
          <w:noProof w:val="0"/>
        </w:rPr>
      </w:pPr>
    </w:p>
    <w:p w14:paraId="7692EB2B" w14:textId="77777777" w:rsidR="00BF17CC" w:rsidRPr="00C61105" w:rsidRDefault="00BF17CC" w:rsidP="00BF17CC">
      <w:pPr>
        <w:spacing w:before="240" w:after="120" w:line="220" w:lineRule="exact"/>
        <w:rPr>
          <w:b/>
          <w:i/>
          <w:sz w:val="18"/>
        </w:rPr>
      </w:pPr>
      <w:r w:rsidRPr="00C61105">
        <w:rPr>
          <w:b/>
          <w:i/>
          <w:sz w:val="18"/>
        </w:rPr>
        <w:t>ASSESSMENT METHOD AND CRITERIA</w:t>
      </w:r>
    </w:p>
    <w:p w14:paraId="7D54CC40" w14:textId="77777777" w:rsidR="00BF17CC" w:rsidRPr="00C61105" w:rsidRDefault="00BF17CC" w:rsidP="00BF17CC">
      <w:pPr>
        <w:pStyle w:val="Testo2"/>
        <w:ind w:firstLine="0"/>
        <w:rPr>
          <w:noProof w:val="0"/>
        </w:rPr>
      </w:pPr>
      <w:r w:rsidRPr="00C61105">
        <w:rPr>
          <w:noProof w:val="0"/>
        </w:rPr>
        <w:t>Those students attending lectures will be required to take the oral exam on the lecture notes, supplemented with the materials provided by the lecturer during the course.</w:t>
      </w:r>
    </w:p>
    <w:p w14:paraId="392CA85D" w14:textId="77777777" w:rsidR="00BF17CC" w:rsidRPr="00C61105" w:rsidRDefault="00BF17CC" w:rsidP="00BF17CC">
      <w:pPr>
        <w:pStyle w:val="Testo2"/>
        <w:ind w:firstLine="0"/>
        <w:rPr>
          <w:noProof w:val="0"/>
        </w:rPr>
      </w:pPr>
      <w:r w:rsidRPr="00C61105">
        <w:rPr>
          <w:noProof w:val="0"/>
        </w:rPr>
        <w:t>Those students not attending lectures will be required to take the oral exam on the entire course contents indicated in the degree course guide, and following the reading list indicated therein.</w:t>
      </w:r>
    </w:p>
    <w:p w14:paraId="0143CE08" w14:textId="77777777" w:rsidR="00BF17CC" w:rsidRPr="00C61105" w:rsidRDefault="00BF17CC" w:rsidP="00BF17CC">
      <w:pPr>
        <w:pStyle w:val="Testo2"/>
        <w:ind w:firstLine="0"/>
        <w:rPr>
          <w:noProof w:val="0"/>
        </w:rPr>
      </w:pPr>
      <w:r w:rsidRPr="00C61105">
        <w:rPr>
          <w:noProof w:val="0"/>
        </w:rPr>
        <w:t xml:space="preserve">Students will be assessed on the relevance of their answers, the reasoned and coherent structuring of their discourse, and their ability to identify conceptual links and critical issues. </w:t>
      </w:r>
    </w:p>
    <w:p w14:paraId="2143BF02" w14:textId="77777777" w:rsidR="00BF17CC" w:rsidRPr="00C61105" w:rsidRDefault="00BF17CC" w:rsidP="00BF17CC">
      <w:pPr>
        <w:spacing w:before="240" w:after="120" w:line="220" w:lineRule="exact"/>
        <w:rPr>
          <w:rFonts w:eastAsia="MS Mincho"/>
          <w:b/>
          <w:i/>
          <w:sz w:val="18"/>
        </w:rPr>
      </w:pPr>
      <w:r w:rsidRPr="00C61105">
        <w:rPr>
          <w:rFonts w:eastAsia="MS Mincho"/>
          <w:b/>
          <w:i/>
          <w:sz w:val="18"/>
        </w:rPr>
        <w:t>NOTES AND PREREQUISITES</w:t>
      </w:r>
    </w:p>
    <w:p w14:paraId="3F0368C0" w14:textId="77777777" w:rsidR="00BF17CC" w:rsidRPr="00C61105" w:rsidRDefault="00BF17CC" w:rsidP="00BF17CC">
      <w:pPr>
        <w:rPr>
          <w:sz w:val="18"/>
        </w:rPr>
      </w:pPr>
      <w:r w:rsidRPr="00C61105">
        <w:rPr>
          <w:sz w:val="18"/>
        </w:rPr>
        <w:t xml:space="preserve">During the course, students who do not have specific legal training will be provided with the fundamental notions for understanding the subject matter. </w:t>
      </w:r>
      <w:r>
        <w:rPr>
          <w:sz w:val="18"/>
        </w:rPr>
        <w:t>Attendance is highly recommended.</w:t>
      </w:r>
    </w:p>
    <w:p w14:paraId="00D6557F" w14:textId="77777777" w:rsidR="00BF17CC" w:rsidRPr="00C61105" w:rsidRDefault="00BF17CC" w:rsidP="00BF17CC">
      <w:pPr>
        <w:rPr>
          <w:sz w:val="18"/>
        </w:rPr>
      </w:pPr>
    </w:p>
    <w:p w14:paraId="399AACB9" w14:textId="77777777" w:rsidR="00BF17CC" w:rsidRPr="00C61105" w:rsidRDefault="00BF17CC" w:rsidP="00BF17CC">
      <w:pPr>
        <w:rPr>
          <w:sz w:val="18"/>
        </w:rPr>
      </w:pPr>
      <w:r w:rsidRPr="00C61105">
        <w:rPr>
          <w:sz w:val="18"/>
        </w:rPr>
        <w:t>Information on office hours available on the teacher's personal page at http://docenti.unicatt.it/.</w:t>
      </w:r>
    </w:p>
    <w:p w14:paraId="7DE108E6" w14:textId="77777777" w:rsidR="00BF17CC" w:rsidRDefault="00BF17CC" w:rsidP="00BF17CC">
      <w:pPr>
        <w:pStyle w:val="Testo2"/>
      </w:pPr>
    </w:p>
    <w:p w14:paraId="3FEFA40B" w14:textId="77777777" w:rsidR="0087142A" w:rsidRPr="00BF17CC" w:rsidRDefault="0087142A" w:rsidP="00BF17CC"/>
    <w:sectPr w:rsidR="0087142A" w:rsidRPr="00BF17C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C7338D3"/>
    <w:multiLevelType w:val="hybridMultilevel"/>
    <w:tmpl w:val="0E3C71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1BA0CEC"/>
    <w:multiLevelType w:val="hybridMultilevel"/>
    <w:tmpl w:val="574C82A4"/>
    <w:lvl w:ilvl="0" w:tplc="7F5A290E">
      <w:start w:val="18"/>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C543E7"/>
    <w:multiLevelType w:val="hybridMultilevel"/>
    <w:tmpl w:val="448AE44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58F4630"/>
    <w:multiLevelType w:val="hybridMultilevel"/>
    <w:tmpl w:val="A31CD42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2E"/>
    <w:rsid w:val="000111FE"/>
    <w:rsid w:val="00033F0B"/>
    <w:rsid w:val="000653B4"/>
    <w:rsid w:val="00066C91"/>
    <w:rsid w:val="0009007C"/>
    <w:rsid w:val="000A63C6"/>
    <w:rsid w:val="000D0D6B"/>
    <w:rsid w:val="000D442B"/>
    <w:rsid w:val="000F1587"/>
    <w:rsid w:val="000F53B5"/>
    <w:rsid w:val="000F5919"/>
    <w:rsid w:val="00105B29"/>
    <w:rsid w:val="00107620"/>
    <w:rsid w:val="001405BA"/>
    <w:rsid w:val="00151531"/>
    <w:rsid w:val="00163DDA"/>
    <w:rsid w:val="00173D47"/>
    <w:rsid w:val="00181B89"/>
    <w:rsid w:val="001B73A5"/>
    <w:rsid w:val="001D68F9"/>
    <w:rsid w:val="001F35FB"/>
    <w:rsid w:val="0024058D"/>
    <w:rsid w:val="00245940"/>
    <w:rsid w:val="0028399A"/>
    <w:rsid w:val="002A3935"/>
    <w:rsid w:val="002C5ECA"/>
    <w:rsid w:val="002F25D7"/>
    <w:rsid w:val="002F34F6"/>
    <w:rsid w:val="00343E9A"/>
    <w:rsid w:val="00346A0C"/>
    <w:rsid w:val="003B2863"/>
    <w:rsid w:val="003D4C93"/>
    <w:rsid w:val="003D4EE7"/>
    <w:rsid w:val="003E293F"/>
    <w:rsid w:val="0041749E"/>
    <w:rsid w:val="00456133"/>
    <w:rsid w:val="00467E98"/>
    <w:rsid w:val="00474CF7"/>
    <w:rsid w:val="00496A87"/>
    <w:rsid w:val="004A063F"/>
    <w:rsid w:val="004A3FB5"/>
    <w:rsid w:val="004B741C"/>
    <w:rsid w:val="004E70B9"/>
    <w:rsid w:val="0050140B"/>
    <w:rsid w:val="00504E19"/>
    <w:rsid w:val="00504F29"/>
    <w:rsid w:val="00510CB4"/>
    <w:rsid w:val="0051136D"/>
    <w:rsid w:val="00524A76"/>
    <w:rsid w:val="00527590"/>
    <w:rsid w:val="00542482"/>
    <w:rsid w:val="00546CBC"/>
    <w:rsid w:val="0055309B"/>
    <w:rsid w:val="00565BEC"/>
    <w:rsid w:val="005771C3"/>
    <w:rsid w:val="00596525"/>
    <w:rsid w:val="00597AE1"/>
    <w:rsid w:val="005C084E"/>
    <w:rsid w:val="005C20E4"/>
    <w:rsid w:val="005D366F"/>
    <w:rsid w:val="005F5042"/>
    <w:rsid w:val="00606F34"/>
    <w:rsid w:val="006234A0"/>
    <w:rsid w:val="00634AE8"/>
    <w:rsid w:val="00640C56"/>
    <w:rsid w:val="00647FB6"/>
    <w:rsid w:val="00687B3A"/>
    <w:rsid w:val="006B6BC5"/>
    <w:rsid w:val="006F352E"/>
    <w:rsid w:val="00764809"/>
    <w:rsid w:val="00784718"/>
    <w:rsid w:val="007A5BC5"/>
    <w:rsid w:val="008014D1"/>
    <w:rsid w:val="00822D2F"/>
    <w:rsid w:val="008540D9"/>
    <w:rsid w:val="0087142A"/>
    <w:rsid w:val="00894DA0"/>
    <w:rsid w:val="00906091"/>
    <w:rsid w:val="0095311F"/>
    <w:rsid w:val="0097022C"/>
    <w:rsid w:val="0097131B"/>
    <w:rsid w:val="009E2B0B"/>
    <w:rsid w:val="00A25B63"/>
    <w:rsid w:val="00A90E42"/>
    <w:rsid w:val="00AA5E11"/>
    <w:rsid w:val="00AB2AD6"/>
    <w:rsid w:val="00AC2669"/>
    <w:rsid w:val="00AC4040"/>
    <w:rsid w:val="00AD7E58"/>
    <w:rsid w:val="00AE10C5"/>
    <w:rsid w:val="00AE7B2E"/>
    <w:rsid w:val="00B05F4B"/>
    <w:rsid w:val="00B275BB"/>
    <w:rsid w:val="00B338FF"/>
    <w:rsid w:val="00B3572B"/>
    <w:rsid w:val="00B36328"/>
    <w:rsid w:val="00B426EB"/>
    <w:rsid w:val="00B5007A"/>
    <w:rsid w:val="00B50B8F"/>
    <w:rsid w:val="00BA5C29"/>
    <w:rsid w:val="00BF17CC"/>
    <w:rsid w:val="00BF3C10"/>
    <w:rsid w:val="00C32A62"/>
    <w:rsid w:val="00C60B14"/>
    <w:rsid w:val="00C61105"/>
    <w:rsid w:val="00C708CB"/>
    <w:rsid w:val="00CD0172"/>
    <w:rsid w:val="00CF0B97"/>
    <w:rsid w:val="00D3105B"/>
    <w:rsid w:val="00D7112D"/>
    <w:rsid w:val="00D934D2"/>
    <w:rsid w:val="00DC5D33"/>
    <w:rsid w:val="00E25838"/>
    <w:rsid w:val="00E2623B"/>
    <w:rsid w:val="00E325C3"/>
    <w:rsid w:val="00E374CB"/>
    <w:rsid w:val="00E456A6"/>
    <w:rsid w:val="00E60A4A"/>
    <w:rsid w:val="00EA4569"/>
    <w:rsid w:val="00EB2CD4"/>
    <w:rsid w:val="00EC5DD8"/>
    <w:rsid w:val="00F10916"/>
    <w:rsid w:val="00F754B0"/>
    <w:rsid w:val="00FC6612"/>
    <w:rsid w:val="00FD3F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71B49"/>
  <w15:docId w15:val="{B1569CB8-EF79-447C-958F-E5DF5B6E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C708CB"/>
    <w:pPr>
      <w:tabs>
        <w:tab w:val="clear" w:pos="284"/>
      </w:tabs>
      <w:spacing w:before="120" w:line="240" w:lineRule="auto"/>
    </w:pPr>
    <w:rPr>
      <w:rFonts w:ascii="Times New Roman" w:hAnsi="Times New Roman"/>
      <w:sz w:val="24"/>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Rientrocorpodeltesto">
    <w:name w:val="Body Text Indent"/>
    <w:basedOn w:val="Normale"/>
    <w:rsid w:val="00C708CB"/>
    <w:pPr>
      <w:spacing w:after="120"/>
      <w:ind w:left="283"/>
    </w:pPr>
  </w:style>
  <w:style w:type="character" w:styleId="Collegamentoipertestuale">
    <w:name w:val="Hyperlink"/>
    <w:basedOn w:val="Carpredefinitoparagrafo"/>
    <w:uiPriority w:val="99"/>
    <w:unhideWhenUsed/>
    <w:rsid w:val="0055309B"/>
    <w:rPr>
      <w:color w:val="0000FF"/>
      <w:u w:val="single"/>
    </w:rPr>
  </w:style>
  <w:style w:type="paragraph" w:styleId="Testofumetto">
    <w:name w:val="Balloon Text"/>
    <w:basedOn w:val="Normale"/>
    <w:link w:val="TestofumettoCarattere"/>
    <w:rsid w:val="004A063F"/>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A063F"/>
    <w:rPr>
      <w:rFonts w:ascii="Lucida Grande" w:hAnsi="Lucida Grande" w:cs="Lucida Grande"/>
      <w:sz w:val="18"/>
      <w:szCs w:val="18"/>
    </w:rPr>
  </w:style>
  <w:style w:type="paragraph" w:styleId="Paragrafoelenco">
    <w:name w:val="List Paragraph"/>
    <w:basedOn w:val="Normale"/>
    <w:uiPriority w:val="34"/>
    <w:qFormat/>
    <w:rsid w:val="00527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4159">
      <w:bodyDiv w:val="1"/>
      <w:marLeft w:val="0"/>
      <w:marRight w:val="0"/>
      <w:marTop w:val="0"/>
      <w:marBottom w:val="0"/>
      <w:divBdr>
        <w:top w:val="none" w:sz="0" w:space="0" w:color="auto"/>
        <w:left w:val="none" w:sz="0" w:space="0" w:color="auto"/>
        <w:bottom w:val="none" w:sz="0" w:space="0" w:color="auto"/>
        <w:right w:val="none" w:sz="0" w:space="0" w:color="auto"/>
      </w:divBdr>
    </w:div>
    <w:div w:id="1554074907">
      <w:bodyDiv w:val="1"/>
      <w:marLeft w:val="0"/>
      <w:marRight w:val="0"/>
      <w:marTop w:val="0"/>
      <w:marBottom w:val="0"/>
      <w:divBdr>
        <w:top w:val="none" w:sz="0" w:space="0" w:color="auto"/>
        <w:left w:val="none" w:sz="0" w:space="0" w:color="auto"/>
        <w:bottom w:val="none" w:sz="0" w:space="0" w:color="auto"/>
        <w:right w:val="none" w:sz="0" w:space="0" w:color="auto"/>
      </w:divBdr>
    </w:div>
    <w:div w:id="186065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F863B-4930-8344-9DB5-5D6DC5F8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C:\Programmi\Microsoft Office\Modelli\PROG_COR_2003.dot</Template>
  <TotalTime>10</TotalTime>
  <Pages>2</Pages>
  <Words>596</Words>
  <Characters>3402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Direzione</dc:creator>
  <cp:lastModifiedBy>Priscilla Bertelloni</cp:lastModifiedBy>
  <cp:revision>7</cp:revision>
  <cp:lastPrinted>2008-06-20T10:08:00Z</cp:lastPrinted>
  <dcterms:created xsi:type="dcterms:W3CDTF">2021-05-07T09:32:00Z</dcterms:created>
  <dcterms:modified xsi:type="dcterms:W3CDTF">2022-05-27T09:30:00Z</dcterms:modified>
</cp:coreProperties>
</file>